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6DE" w:rsidRPr="00387B38" w:rsidRDefault="006A06DE" w:rsidP="006A06DE">
      <w:pPr>
        <w:jc w:val="right"/>
        <w:outlineLvl w:val="0"/>
      </w:pPr>
      <w:r w:rsidRPr="005562F8">
        <w:rPr>
          <w:i/>
          <w:color w:val="FF0000"/>
        </w:rPr>
        <w:t>miejscowość, data</w:t>
      </w:r>
      <w:r w:rsidRPr="00387B38">
        <w:t xml:space="preserve"> 2012 r.</w:t>
      </w:r>
    </w:p>
    <w:p w:rsidR="006A06DE" w:rsidRPr="00387B38" w:rsidRDefault="006A06DE" w:rsidP="006A06DE">
      <w:pPr>
        <w:jc w:val="right"/>
        <w:outlineLvl w:val="0"/>
      </w:pPr>
    </w:p>
    <w:p w:rsidR="006A06DE" w:rsidRPr="00387B38" w:rsidRDefault="006A06DE" w:rsidP="006A06DE">
      <w:pPr>
        <w:ind w:left="3540"/>
        <w:jc w:val="both"/>
        <w:rPr>
          <w:b/>
        </w:rPr>
      </w:pPr>
      <w:r>
        <w:rPr>
          <w:b/>
        </w:rPr>
        <w:t>S</w:t>
      </w:r>
      <w:r w:rsidRPr="00387B38">
        <w:rPr>
          <w:b/>
        </w:rPr>
        <w:t>ędzia</w:t>
      </w:r>
      <w:r>
        <w:rPr>
          <w:b/>
        </w:rPr>
        <w:t>-</w:t>
      </w:r>
      <w:r w:rsidRPr="00387B38">
        <w:rPr>
          <w:b/>
        </w:rPr>
        <w:t xml:space="preserve">komisarz </w:t>
      </w:r>
    </w:p>
    <w:p w:rsidR="006A06DE" w:rsidRPr="00387B38" w:rsidRDefault="006A06DE" w:rsidP="006A06DE">
      <w:pPr>
        <w:ind w:left="3540"/>
        <w:jc w:val="both"/>
        <w:rPr>
          <w:b/>
        </w:rPr>
      </w:pPr>
      <w:r w:rsidRPr="00387B38">
        <w:rPr>
          <w:b/>
        </w:rPr>
        <w:t xml:space="preserve">SSR </w:t>
      </w:r>
      <w:r>
        <w:rPr>
          <w:b/>
        </w:rPr>
        <w:t xml:space="preserve">Ireneusz </w:t>
      </w:r>
      <w:proofErr w:type="spellStart"/>
      <w:r>
        <w:rPr>
          <w:b/>
        </w:rPr>
        <w:t>Fojuth</w:t>
      </w:r>
      <w:proofErr w:type="spellEnd"/>
    </w:p>
    <w:p w:rsidR="006A06DE" w:rsidRDefault="006A06DE" w:rsidP="006A06DE">
      <w:pPr>
        <w:ind w:left="3540"/>
        <w:jc w:val="both"/>
        <w:outlineLvl w:val="0"/>
        <w:rPr>
          <w:b/>
        </w:rPr>
      </w:pPr>
      <w:r>
        <w:rPr>
          <w:b/>
        </w:rPr>
        <w:t>Sąd Rejonowy Gdańsk-Północ w Gdańsku</w:t>
      </w:r>
    </w:p>
    <w:p w:rsidR="006A06DE" w:rsidRDefault="006A06DE" w:rsidP="006A06DE">
      <w:pPr>
        <w:ind w:left="3540"/>
        <w:jc w:val="both"/>
        <w:outlineLvl w:val="0"/>
        <w:rPr>
          <w:b/>
        </w:rPr>
      </w:pPr>
      <w:r>
        <w:rPr>
          <w:b/>
        </w:rPr>
        <w:t>VI Wydział Gospodarczy</w:t>
      </w:r>
    </w:p>
    <w:p w:rsidR="006A06DE" w:rsidRPr="00387B38" w:rsidRDefault="006A06DE" w:rsidP="006A06DE">
      <w:pPr>
        <w:ind w:left="3540"/>
        <w:jc w:val="both"/>
        <w:outlineLvl w:val="0"/>
      </w:pPr>
      <w:r>
        <w:t>u</w:t>
      </w:r>
      <w:r w:rsidRPr="00387B38">
        <w:t>l. Piekarnicza 10</w:t>
      </w:r>
    </w:p>
    <w:p w:rsidR="006A06DE" w:rsidRPr="00387B38" w:rsidRDefault="006A06DE" w:rsidP="006A06DE">
      <w:pPr>
        <w:ind w:left="3540"/>
        <w:jc w:val="both"/>
        <w:outlineLvl w:val="0"/>
      </w:pPr>
      <w:r w:rsidRPr="00387B38">
        <w:t>80-126 Gdańsk</w:t>
      </w:r>
    </w:p>
    <w:p w:rsidR="006A06DE" w:rsidRPr="00387B38" w:rsidRDefault="006A06DE" w:rsidP="006A06DE">
      <w:pPr>
        <w:ind w:left="708"/>
        <w:jc w:val="both"/>
      </w:pPr>
    </w:p>
    <w:p w:rsidR="006A06DE" w:rsidRPr="005562F8" w:rsidRDefault="006A06DE" w:rsidP="006A06DE">
      <w:pPr>
        <w:ind w:left="708" w:firstLine="708"/>
        <w:jc w:val="both"/>
        <w:outlineLvl w:val="0"/>
        <w:rPr>
          <w:i/>
          <w:color w:val="FF0000"/>
        </w:rPr>
      </w:pPr>
      <w:r w:rsidRPr="00387B38">
        <w:rPr>
          <w:b/>
        </w:rPr>
        <w:t>Wierzyciel:</w:t>
      </w:r>
      <w:r w:rsidRPr="00387B38">
        <w:rPr>
          <w:b/>
        </w:rPr>
        <w:tab/>
      </w:r>
      <w:r w:rsidRPr="00387B38">
        <w:tab/>
      </w:r>
      <w:r w:rsidRPr="005562F8">
        <w:rPr>
          <w:i/>
          <w:color w:val="FF0000"/>
        </w:rPr>
        <w:t>imię i nazwisko/</w:t>
      </w:r>
      <w:r>
        <w:rPr>
          <w:i/>
          <w:color w:val="FF0000"/>
        </w:rPr>
        <w:t>nazwa osoby prawnej</w:t>
      </w:r>
    </w:p>
    <w:p w:rsidR="006A06DE" w:rsidRPr="005562F8" w:rsidRDefault="006A06DE" w:rsidP="006A06DE">
      <w:pPr>
        <w:ind w:left="2832"/>
        <w:jc w:val="both"/>
        <w:outlineLvl w:val="0"/>
        <w:rPr>
          <w:i/>
          <w:color w:val="FF0000"/>
        </w:rPr>
      </w:pPr>
      <w:r w:rsidRPr="005562F8">
        <w:rPr>
          <w:b/>
          <w:i/>
          <w:color w:val="FF0000"/>
        </w:rPr>
        <w:tab/>
      </w:r>
      <w:r w:rsidRPr="005562F8">
        <w:rPr>
          <w:i/>
          <w:color w:val="FF0000"/>
        </w:rPr>
        <w:t>adres</w:t>
      </w:r>
    </w:p>
    <w:p w:rsidR="006A06DE" w:rsidRPr="00387B38" w:rsidRDefault="006A06DE" w:rsidP="006A06DE">
      <w:pPr>
        <w:ind w:left="708"/>
        <w:jc w:val="both"/>
      </w:pPr>
    </w:p>
    <w:p w:rsidR="006A06DE" w:rsidRDefault="006A06DE" w:rsidP="006A06DE">
      <w:pPr>
        <w:ind w:left="708" w:firstLine="708"/>
        <w:jc w:val="both"/>
        <w:rPr>
          <w:b/>
        </w:rPr>
      </w:pPr>
      <w:r w:rsidRPr="00387B38">
        <w:rPr>
          <w:b/>
        </w:rPr>
        <w:t>Upadła:</w:t>
      </w:r>
      <w:r w:rsidRPr="00387B38">
        <w:rPr>
          <w:b/>
        </w:rPr>
        <w:tab/>
      </w:r>
      <w:r w:rsidRPr="00387B38">
        <w:rPr>
          <w:b/>
        </w:rPr>
        <w:tab/>
        <w:t xml:space="preserve">AMBER GOLD spółka z o.o. </w:t>
      </w:r>
    </w:p>
    <w:p w:rsidR="006A06DE" w:rsidRPr="008319CE" w:rsidRDefault="006A06DE" w:rsidP="006A06DE">
      <w:pPr>
        <w:ind w:left="708" w:firstLine="708"/>
        <w:jc w:val="both"/>
      </w:pPr>
      <w:r w:rsidRPr="008319CE">
        <w:tab/>
      </w:r>
      <w:r w:rsidRPr="008319CE">
        <w:tab/>
      </w:r>
      <w:r w:rsidRPr="008319CE">
        <w:tab/>
        <w:t>ul. Długie Ogrody 8-14</w:t>
      </w:r>
    </w:p>
    <w:p w:rsidR="006A06DE" w:rsidRPr="00387B38" w:rsidRDefault="006A06DE" w:rsidP="006A06DE">
      <w:pPr>
        <w:ind w:left="708" w:firstLine="708"/>
        <w:jc w:val="both"/>
      </w:pPr>
      <w:r w:rsidRPr="008319CE">
        <w:tab/>
      </w:r>
      <w:r w:rsidRPr="008319CE">
        <w:tab/>
      </w:r>
      <w:r w:rsidRPr="008319CE">
        <w:tab/>
        <w:t>80-755 Gdańsk</w:t>
      </w:r>
      <w:r w:rsidRPr="00387B38">
        <w:rPr>
          <w:b/>
        </w:rPr>
        <w:tab/>
      </w:r>
      <w:r w:rsidRPr="00387B38">
        <w:rPr>
          <w:b/>
        </w:rPr>
        <w:tab/>
      </w:r>
    </w:p>
    <w:p w:rsidR="006A06DE" w:rsidRPr="00387B38" w:rsidRDefault="006A06DE" w:rsidP="006A06DE">
      <w:pPr>
        <w:ind w:left="2124" w:firstLine="708"/>
        <w:jc w:val="both"/>
      </w:pPr>
    </w:p>
    <w:p w:rsidR="006A06DE" w:rsidRPr="00387B38" w:rsidRDefault="006A06DE" w:rsidP="006A06DE">
      <w:pPr>
        <w:jc w:val="both"/>
        <w:rPr>
          <w:b/>
          <w:bCs/>
        </w:rPr>
      </w:pPr>
      <w:r w:rsidRPr="00387B38">
        <w:rPr>
          <w:b/>
          <w:bCs/>
        </w:rPr>
        <w:t xml:space="preserve">Sygn. akt: </w:t>
      </w:r>
      <w:r w:rsidRPr="00387B38">
        <w:rPr>
          <w:bCs/>
        </w:rPr>
        <w:t xml:space="preserve">VI </w:t>
      </w:r>
      <w:proofErr w:type="spellStart"/>
      <w:r w:rsidRPr="00387B38">
        <w:rPr>
          <w:bCs/>
        </w:rPr>
        <w:t>GUp</w:t>
      </w:r>
      <w:proofErr w:type="spellEnd"/>
      <w:r w:rsidRPr="00387B38">
        <w:rPr>
          <w:bCs/>
        </w:rPr>
        <w:t xml:space="preserve"> 23/12</w:t>
      </w:r>
    </w:p>
    <w:p w:rsidR="006A06DE" w:rsidRPr="00387B38" w:rsidRDefault="006A06DE" w:rsidP="006A06DE">
      <w:pPr>
        <w:jc w:val="both"/>
      </w:pPr>
    </w:p>
    <w:p w:rsidR="006A06DE" w:rsidRPr="00387B38" w:rsidRDefault="006A06DE" w:rsidP="006A06DE">
      <w:pPr>
        <w:spacing w:line="360" w:lineRule="auto"/>
        <w:jc w:val="center"/>
        <w:outlineLvl w:val="0"/>
        <w:rPr>
          <w:b/>
          <w:smallCaps/>
        </w:rPr>
      </w:pPr>
      <w:r w:rsidRPr="00387B38">
        <w:rPr>
          <w:b/>
          <w:smallCaps/>
          <w:sz w:val="28"/>
          <w:szCs w:val="28"/>
        </w:rPr>
        <w:t>Zgłoszenie wierzytelności</w:t>
      </w:r>
    </w:p>
    <w:p w:rsidR="006A06DE" w:rsidRPr="00387B38" w:rsidRDefault="006A06DE" w:rsidP="006A06DE">
      <w:pPr>
        <w:jc w:val="both"/>
      </w:pPr>
      <w:r w:rsidRPr="00387B38">
        <w:t>Stosownie do treści postanowienia Sądu Rejonowego Gdańsk-Północ w Gdańsku z dnia 20 września 2012 r., wydanego w sprawie rozpoznanej pod sygnaturą</w:t>
      </w:r>
      <w:r w:rsidRPr="00387B38">
        <w:rPr>
          <w:bCs/>
        </w:rPr>
        <w:t xml:space="preserve"> VI GU 173/12,</w:t>
      </w:r>
      <w:r w:rsidRPr="00387B38">
        <w:t xml:space="preserve"> ogłoszonego w Monitorze Sądowym i Gospodarczym </w:t>
      </w:r>
      <w:r>
        <w:t xml:space="preserve">z </w:t>
      </w:r>
      <w:r w:rsidRPr="00387B38">
        <w:t xml:space="preserve">dnia </w:t>
      </w:r>
      <w:r>
        <w:t>25 września</w:t>
      </w:r>
      <w:r w:rsidRPr="00387B38">
        <w:t xml:space="preserve"> 2012 r. (numer </w:t>
      </w:r>
      <w:r w:rsidRPr="00175CD9">
        <w:t>186 (4051)</w:t>
      </w:r>
      <w:r>
        <w:t xml:space="preserve">/2012, </w:t>
      </w:r>
      <w:r w:rsidRPr="00387B38">
        <w:t xml:space="preserve">poz. </w:t>
      </w:r>
      <w:r w:rsidRPr="00175CD9">
        <w:t>12599</w:t>
      </w:r>
      <w:r w:rsidRPr="00387B38">
        <w:t xml:space="preserve">), zgłaszam w postępowaniu upadłościowym </w:t>
      </w:r>
      <w:r w:rsidRPr="008319CE">
        <w:t>AMBER GOLD spółk</w:t>
      </w:r>
      <w:r>
        <w:t>i</w:t>
      </w:r>
      <w:r w:rsidRPr="008319CE">
        <w:t xml:space="preserve"> z o.o. </w:t>
      </w:r>
      <w:r w:rsidRPr="00387B38">
        <w:t xml:space="preserve">w upadłości likwidacyjnej wierzytelności w kwocie </w:t>
      </w:r>
      <w:r w:rsidRPr="00175CD9">
        <w:rPr>
          <w:i/>
          <w:color w:val="FF0000"/>
        </w:rPr>
        <w:t>podaj kwotę wierzytelności</w:t>
      </w:r>
      <w:r w:rsidRPr="00175CD9">
        <w:t>,</w:t>
      </w:r>
      <w:r w:rsidRPr="00387B38">
        <w:t xml:space="preserve"> na co składają się:</w:t>
      </w:r>
    </w:p>
    <w:p w:rsidR="006A06DE" w:rsidRPr="00387B38" w:rsidRDefault="006A06DE" w:rsidP="006A06DE">
      <w:pPr>
        <w:numPr>
          <w:ilvl w:val="0"/>
          <w:numId w:val="1"/>
        </w:numPr>
        <w:suppressAutoHyphens/>
        <w:jc w:val="both"/>
      </w:pPr>
      <w:r>
        <w:rPr>
          <w:i/>
          <w:color w:val="FF0000"/>
        </w:rPr>
        <w:t>p</w:t>
      </w:r>
      <w:r w:rsidRPr="0064099B">
        <w:rPr>
          <w:i/>
          <w:color w:val="FF0000"/>
        </w:rPr>
        <w:t>odaj kwotę</w:t>
      </w:r>
      <w:r w:rsidRPr="00387B38">
        <w:rPr>
          <w:b/>
        </w:rPr>
        <w:t xml:space="preserve"> </w:t>
      </w:r>
      <w:r w:rsidRPr="000144FC">
        <w:t>zł</w:t>
      </w:r>
      <w:r w:rsidRPr="00387B38">
        <w:rPr>
          <w:b/>
        </w:rPr>
        <w:t xml:space="preserve"> </w:t>
      </w:r>
      <w:r w:rsidRPr="0064099B">
        <w:t>z tytułu</w:t>
      </w:r>
      <w:r>
        <w:rPr>
          <w:b/>
        </w:rPr>
        <w:t xml:space="preserve"> </w:t>
      </w:r>
      <w:r w:rsidRPr="008319CE">
        <w:t>Umowy Depozytu Towarowego,</w:t>
      </w:r>
    </w:p>
    <w:p w:rsidR="006A06DE" w:rsidRDefault="006A06DE" w:rsidP="006A06DE">
      <w:pPr>
        <w:numPr>
          <w:ilvl w:val="0"/>
          <w:numId w:val="1"/>
        </w:numPr>
        <w:suppressAutoHyphens/>
        <w:jc w:val="both"/>
      </w:pPr>
      <w:r>
        <w:rPr>
          <w:i/>
          <w:color w:val="FF0000"/>
        </w:rPr>
        <w:t>p</w:t>
      </w:r>
      <w:r w:rsidRPr="0064099B">
        <w:rPr>
          <w:i/>
          <w:color w:val="FF0000"/>
        </w:rPr>
        <w:t>odaj kwotę</w:t>
      </w:r>
      <w:r w:rsidRPr="00387B38">
        <w:rPr>
          <w:b/>
        </w:rPr>
        <w:t xml:space="preserve"> </w:t>
      </w:r>
      <w:r w:rsidRPr="000144FC">
        <w:t>zł</w:t>
      </w:r>
      <w:r>
        <w:rPr>
          <w:b/>
        </w:rPr>
        <w:t xml:space="preserve"> </w:t>
      </w:r>
      <w:r w:rsidRPr="00387B38">
        <w:t>z tytułu o</w:t>
      </w:r>
      <w:r>
        <w:t xml:space="preserve">dsetek ustawowych za opóźnienie od kwoty </w:t>
      </w:r>
      <w:r>
        <w:rPr>
          <w:i/>
          <w:color w:val="FF0000"/>
        </w:rPr>
        <w:t>p</w:t>
      </w:r>
      <w:r w:rsidRPr="0064099B">
        <w:rPr>
          <w:i/>
          <w:color w:val="FF0000"/>
        </w:rPr>
        <w:t>odaj kwotę</w:t>
      </w:r>
      <w:r>
        <w:rPr>
          <w:i/>
          <w:color w:val="FF0000"/>
        </w:rPr>
        <w:t xml:space="preserve"> z punktu 1 </w:t>
      </w:r>
      <w:r w:rsidRPr="0064099B">
        <w:t>za okres od dnia</w:t>
      </w:r>
      <w:r>
        <w:rPr>
          <w:i/>
          <w:color w:val="FF0000"/>
        </w:rPr>
        <w:t xml:space="preserve"> podaj dzień, od którego liczysz odsetki </w:t>
      </w:r>
      <w:r w:rsidRPr="0064099B">
        <w:t xml:space="preserve">do dnia ogłoszenia </w:t>
      </w:r>
      <w:commentRangeStart w:id="0"/>
      <w:r w:rsidRPr="0064099B">
        <w:t>upadłości</w:t>
      </w:r>
      <w:commentRangeEnd w:id="0"/>
      <w:r>
        <w:rPr>
          <w:rStyle w:val="Odwoaniedokomentarza"/>
        </w:rPr>
        <w:commentReference w:id="0"/>
      </w:r>
      <w:r w:rsidRPr="0064099B">
        <w:t>.</w:t>
      </w:r>
    </w:p>
    <w:p w:rsidR="006A06DE" w:rsidRDefault="006A06DE" w:rsidP="006A06DE">
      <w:pPr>
        <w:suppressAutoHyphens/>
        <w:jc w:val="both"/>
      </w:pPr>
    </w:p>
    <w:p w:rsidR="006A06DE" w:rsidRPr="00387B38" w:rsidRDefault="006A06DE" w:rsidP="006A06DE">
      <w:pPr>
        <w:suppressAutoHyphens/>
        <w:jc w:val="both"/>
      </w:pPr>
    </w:p>
    <w:p w:rsidR="006A06DE" w:rsidRPr="005562F8" w:rsidRDefault="006A06DE" w:rsidP="006A06DE">
      <w:pPr>
        <w:spacing w:line="360" w:lineRule="auto"/>
        <w:jc w:val="center"/>
        <w:rPr>
          <w:b/>
          <w:smallCaps/>
        </w:rPr>
      </w:pPr>
      <w:r w:rsidRPr="005562F8">
        <w:rPr>
          <w:b/>
          <w:smallCaps/>
        </w:rPr>
        <w:t>Uzasadnienie</w:t>
      </w:r>
    </w:p>
    <w:p w:rsidR="006A06DE" w:rsidRPr="008319CE" w:rsidRDefault="006A06DE" w:rsidP="006A06DE">
      <w:pPr>
        <w:snapToGrid w:val="0"/>
        <w:jc w:val="both"/>
      </w:pPr>
      <w:r>
        <w:t xml:space="preserve">Zawarłem z Upadłą Umowę Depozytu Towarowego poprzez złożenie </w:t>
      </w:r>
      <w:r w:rsidRPr="0000240B">
        <w:t>Dyspozycj</w:t>
      </w:r>
      <w:r>
        <w:t>i</w:t>
      </w:r>
      <w:r w:rsidRPr="0000240B">
        <w:t xml:space="preserve"> Zawarcia Depozytu Towarowego</w:t>
      </w:r>
      <w:r>
        <w:t xml:space="preserve"> z dnia </w:t>
      </w:r>
      <w:r w:rsidRPr="000144FC">
        <w:rPr>
          <w:i/>
          <w:color w:val="FF0000"/>
        </w:rPr>
        <w:t>podaj datę</w:t>
      </w:r>
      <w:r>
        <w:t xml:space="preserve">, na podstawie której uiściłem na rzecz Upadłej kwotę </w:t>
      </w:r>
      <w:r w:rsidRPr="000144FC">
        <w:rPr>
          <w:i/>
          <w:color w:val="FF0000"/>
        </w:rPr>
        <w:t>podaj kwotę</w:t>
      </w:r>
      <w:r>
        <w:t xml:space="preserve"> przelewem z dnia </w:t>
      </w:r>
      <w:r w:rsidRPr="000144FC">
        <w:rPr>
          <w:i/>
          <w:color w:val="FF0000"/>
        </w:rPr>
        <w:t>podaj datę</w:t>
      </w:r>
      <w:r>
        <w:rPr>
          <w:i/>
        </w:rPr>
        <w:t xml:space="preserve">. </w:t>
      </w:r>
      <w:r w:rsidRPr="0000240B">
        <w:t>Upadła potwierdziła zawarcie umowy poprzez wystawienie</w:t>
      </w:r>
      <w:r>
        <w:t xml:space="preserve"> </w:t>
      </w:r>
      <w:r w:rsidRPr="0000240B">
        <w:t>Potwierdzenie Zawarcia Depozytu Towarowego</w:t>
      </w:r>
      <w:r>
        <w:t xml:space="preserve"> numer </w:t>
      </w:r>
      <w:r w:rsidRPr="000144FC">
        <w:rPr>
          <w:i/>
          <w:color w:val="FF0000"/>
        </w:rPr>
        <w:t>podaj numer</w:t>
      </w:r>
      <w:r>
        <w:rPr>
          <w:i/>
        </w:rPr>
        <w:t xml:space="preserve">. </w:t>
      </w:r>
      <w:r w:rsidRPr="005562F8">
        <w:rPr>
          <w:i/>
          <w:color w:val="FF0000"/>
        </w:rPr>
        <w:t xml:space="preserve">W tym miejscu podaj również dalsze okoliczności, które dotyczą sprawy – np. fakt, że przed ogłoszeniem upadłości upłynął termin na wypłatę depozytu, albo że </w:t>
      </w:r>
      <w:proofErr w:type="spellStart"/>
      <w:r w:rsidRPr="005562F8">
        <w:rPr>
          <w:i/>
          <w:color w:val="FF0000"/>
        </w:rPr>
        <w:t>Amber</w:t>
      </w:r>
      <w:proofErr w:type="spellEnd"/>
      <w:r w:rsidRPr="005562F8">
        <w:rPr>
          <w:i/>
          <w:color w:val="FF0000"/>
        </w:rPr>
        <w:t xml:space="preserve"> </w:t>
      </w:r>
      <w:proofErr w:type="spellStart"/>
      <w:r w:rsidRPr="005562F8">
        <w:rPr>
          <w:i/>
          <w:color w:val="FF0000"/>
        </w:rPr>
        <w:t>Gold</w:t>
      </w:r>
      <w:proofErr w:type="spellEnd"/>
      <w:r w:rsidRPr="005562F8">
        <w:rPr>
          <w:i/>
          <w:color w:val="FF0000"/>
        </w:rPr>
        <w:t xml:space="preserve"> wypowiedziała umowę.</w:t>
      </w:r>
      <w:r>
        <w:rPr>
          <w:i/>
          <w:color w:val="FF0000"/>
        </w:rPr>
        <w:t xml:space="preserve"> Poniżej, wskaż na dowody, które uzasadniają Twoje stanowisko (np. jeśli doszło do wypowiedzenia umowy przez </w:t>
      </w:r>
      <w:proofErr w:type="spellStart"/>
      <w:r>
        <w:rPr>
          <w:i/>
          <w:color w:val="FF0000"/>
        </w:rPr>
        <w:t>Amber</w:t>
      </w:r>
      <w:proofErr w:type="spellEnd"/>
      <w:r>
        <w:rPr>
          <w:i/>
          <w:color w:val="FF0000"/>
        </w:rPr>
        <w:t xml:space="preserve"> </w:t>
      </w:r>
      <w:proofErr w:type="spellStart"/>
      <w:r>
        <w:rPr>
          <w:i/>
          <w:color w:val="FF0000"/>
        </w:rPr>
        <w:t>Gold</w:t>
      </w:r>
      <w:proofErr w:type="spellEnd"/>
      <w:r>
        <w:rPr>
          <w:i/>
          <w:color w:val="FF0000"/>
        </w:rPr>
        <w:t xml:space="preserve"> – podaj w dowodach i załącz do pisma oświadczenie o wypowiedzeniu umowy).</w:t>
      </w:r>
    </w:p>
    <w:p w:rsidR="006A06DE" w:rsidRPr="005562F8" w:rsidRDefault="006A06DE" w:rsidP="006A06DE">
      <w:pPr>
        <w:snapToGrid w:val="0"/>
        <w:ind w:left="1410" w:hanging="1410"/>
        <w:jc w:val="both"/>
        <w:rPr>
          <w:i/>
          <w:sz w:val="20"/>
        </w:rPr>
      </w:pPr>
      <w:r w:rsidRPr="005562F8">
        <w:rPr>
          <w:b/>
          <w:sz w:val="20"/>
        </w:rPr>
        <w:t>dowód:</w:t>
      </w:r>
      <w:r w:rsidRPr="005562F8">
        <w:rPr>
          <w:b/>
          <w:sz w:val="20"/>
        </w:rPr>
        <w:tab/>
      </w:r>
      <w:r w:rsidRPr="005562F8">
        <w:rPr>
          <w:sz w:val="20"/>
        </w:rPr>
        <w:t xml:space="preserve">Dyspozycja Zawarcia Depozytu Towarowego z dnia </w:t>
      </w:r>
      <w:r w:rsidRPr="005562F8">
        <w:rPr>
          <w:i/>
          <w:color w:val="FF0000"/>
          <w:sz w:val="20"/>
        </w:rPr>
        <w:t>podaj datę</w:t>
      </w:r>
      <w:r w:rsidRPr="005562F8">
        <w:rPr>
          <w:sz w:val="20"/>
        </w:rPr>
        <w:t xml:space="preserve">, potwierdzenie przelewu z dnia </w:t>
      </w:r>
      <w:r w:rsidRPr="005562F8">
        <w:rPr>
          <w:i/>
          <w:color w:val="FF0000"/>
          <w:sz w:val="20"/>
        </w:rPr>
        <w:t>podaj datę</w:t>
      </w:r>
      <w:r w:rsidRPr="005562F8">
        <w:rPr>
          <w:i/>
          <w:sz w:val="20"/>
        </w:rPr>
        <w:t xml:space="preserve">, </w:t>
      </w:r>
      <w:r w:rsidRPr="005562F8">
        <w:rPr>
          <w:sz w:val="20"/>
        </w:rPr>
        <w:t xml:space="preserve">Potwierdzenie Zawarcia Depozytu Towarowego numer </w:t>
      </w:r>
      <w:r w:rsidRPr="005562F8">
        <w:rPr>
          <w:i/>
          <w:color w:val="FF0000"/>
          <w:sz w:val="20"/>
        </w:rPr>
        <w:t>podaj numer</w:t>
      </w:r>
      <w:r w:rsidRPr="005562F8">
        <w:rPr>
          <w:i/>
          <w:sz w:val="20"/>
        </w:rPr>
        <w:t xml:space="preserve">, </w:t>
      </w:r>
      <w:r w:rsidRPr="005562F8">
        <w:rPr>
          <w:i/>
          <w:color w:val="FF0000"/>
          <w:sz w:val="20"/>
        </w:rPr>
        <w:t xml:space="preserve">ewentualnie dalsze </w:t>
      </w:r>
      <w:commentRangeStart w:id="1"/>
      <w:r w:rsidRPr="005562F8">
        <w:rPr>
          <w:i/>
          <w:color w:val="FF0000"/>
          <w:sz w:val="20"/>
        </w:rPr>
        <w:t>dowody</w:t>
      </w:r>
      <w:commentRangeEnd w:id="1"/>
      <w:r>
        <w:rPr>
          <w:rStyle w:val="Odwoaniedokomentarza"/>
        </w:rPr>
        <w:commentReference w:id="1"/>
      </w:r>
      <w:r w:rsidRPr="005562F8">
        <w:rPr>
          <w:i/>
          <w:color w:val="FF0000"/>
          <w:sz w:val="20"/>
        </w:rPr>
        <w:t>.</w:t>
      </w:r>
    </w:p>
    <w:p w:rsidR="006A06DE" w:rsidRDefault="006A06DE" w:rsidP="006A06DE">
      <w:pPr>
        <w:snapToGrid w:val="0"/>
        <w:jc w:val="both"/>
      </w:pPr>
    </w:p>
    <w:p w:rsidR="006A06DE" w:rsidRPr="00387B38" w:rsidRDefault="006A06DE" w:rsidP="006A06DE">
      <w:pPr>
        <w:jc w:val="both"/>
      </w:pPr>
      <w:r w:rsidRPr="00387B38">
        <w:t xml:space="preserve">Poniżej wskazuję wyliczenie odsetek wskazanych w punkcie 2 </w:t>
      </w:r>
      <w:r w:rsidRPr="0000240B">
        <w:t>osnowy</w:t>
      </w:r>
      <w:r w:rsidRPr="00387B38">
        <w:rPr>
          <w:i/>
        </w:rPr>
        <w:t xml:space="preserve"> </w:t>
      </w:r>
      <w:r w:rsidRPr="00387B38">
        <w:t>pisma:</w:t>
      </w:r>
    </w:p>
    <w:p w:rsidR="006A06DE" w:rsidRPr="00567D10" w:rsidRDefault="006A06DE" w:rsidP="006A06DE">
      <w:pPr>
        <w:jc w:val="both"/>
        <w:rPr>
          <w:sz w:val="20"/>
        </w:rPr>
      </w:pPr>
      <w:r w:rsidRPr="00567D10">
        <w:rPr>
          <w:b/>
          <w:bCs/>
          <w:sz w:val="20"/>
        </w:rPr>
        <w:t xml:space="preserve">należność </w:t>
      </w:r>
      <w:r w:rsidRPr="00567D10">
        <w:rPr>
          <w:b/>
          <w:bCs/>
          <w:sz w:val="20"/>
        </w:rPr>
        <w:tab/>
      </w:r>
      <w:r>
        <w:rPr>
          <w:b/>
          <w:sz w:val="20"/>
        </w:rPr>
        <w:t xml:space="preserve">okres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567D10">
        <w:rPr>
          <w:b/>
          <w:sz w:val="20"/>
        </w:rPr>
        <w:t xml:space="preserve">ilość dni </w:t>
      </w:r>
      <w:r w:rsidRPr="00567D10">
        <w:rPr>
          <w:b/>
          <w:sz w:val="20"/>
        </w:rPr>
        <w:tab/>
      </w:r>
      <w:r>
        <w:rPr>
          <w:b/>
          <w:sz w:val="20"/>
        </w:rPr>
        <w:tab/>
      </w:r>
      <w:r w:rsidRPr="00567D10">
        <w:rPr>
          <w:b/>
          <w:sz w:val="20"/>
        </w:rPr>
        <w:t xml:space="preserve">% </w:t>
      </w:r>
      <w:r w:rsidRPr="00567D10">
        <w:rPr>
          <w:b/>
          <w:sz w:val="20"/>
        </w:rPr>
        <w:tab/>
      </w:r>
      <w:r>
        <w:rPr>
          <w:b/>
          <w:sz w:val="20"/>
        </w:rPr>
        <w:tab/>
      </w:r>
      <w:r w:rsidRPr="00567D10">
        <w:rPr>
          <w:b/>
          <w:sz w:val="20"/>
        </w:rPr>
        <w:t>odsetki</w:t>
      </w:r>
    </w:p>
    <w:p w:rsidR="006A06DE" w:rsidRPr="00567D10" w:rsidRDefault="006A06DE" w:rsidP="006A06DE">
      <w:pPr>
        <w:jc w:val="both"/>
        <w:rPr>
          <w:color w:val="FF0000"/>
          <w:sz w:val="20"/>
        </w:rPr>
      </w:pPr>
      <w:r w:rsidRPr="00567D10">
        <w:rPr>
          <w:i/>
          <w:color w:val="FF0000"/>
          <w:sz w:val="20"/>
        </w:rPr>
        <w:t>podaj kwotę</w:t>
      </w:r>
      <w:r w:rsidRPr="00567D10">
        <w:rPr>
          <w:color w:val="FF0000"/>
          <w:sz w:val="20"/>
        </w:rPr>
        <w:t xml:space="preserve"> zł </w:t>
      </w:r>
      <w:r w:rsidRPr="00567D10">
        <w:rPr>
          <w:color w:val="FF0000"/>
          <w:sz w:val="20"/>
        </w:rPr>
        <w:tab/>
      </w:r>
      <w:r w:rsidRPr="00567D10">
        <w:rPr>
          <w:i/>
          <w:color w:val="FF0000"/>
          <w:sz w:val="20"/>
        </w:rPr>
        <w:t>podaj datę początkową</w:t>
      </w:r>
      <w:r>
        <w:rPr>
          <w:i/>
          <w:color w:val="FF0000"/>
          <w:sz w:val="20"/>
        </w:rPr>
        <w:t xml:space="preserve"> </w:t>
      </w:r>
      <w:r w:rsidRPr="00567D10"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Pr="00567D10">
        <w:rPr>
          <w:i/>
          <w:color w:val="FF0000"/>
          <w:sz w:val="20"/>
        </w:rPr>
        <w:t>podaj ilość dni</w:t>
      </w:r>
      <w:r w:rsidRPr="00567D10"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Pr="00567D10">
        <w:rPr>
          <w:i/>
          <w:color w:val="FF0000"/>
          <w:sz w:val="20"/>
        </w:rPr>
        <w:t>podaj %</w:t>
      </w:r>
      <w:r w:rsidRPr="00567D10">
        <w:rPr>
          <w:color w:val="FF0000"/>
          <w:sz w:val="20"/>
        </w:rPr>
        <w:t xml:space="preserve"> </w:t>
      </w:r>
      <w:r w:rsidRPr="00567D10">
        <w:rPr>
          <w:color w:val="FF0000"/>
          <w:sz w:val="20"/>
        </w:rPr>
        <w:tab/>
      </w:r>
      <w:r w:rsidRPr="00567D10">
        <w:rPr>
          <w:i/>
          <w:color w:val="FF0000"/>
          <w:sz w:val="20"/>
        </w:rPr>
        <w:t xml:space="preserve">wylicz </w:t>
      </w:r>
      <w:commentRangeStart w:id="2"/>
      <w:r w:rsidRPr="00567D10">
        <w:rPr>
          <w:i/>
          <w:color w:val="FF0000"/>
          <w:sz w:val="20"/>
        </w:rPr>
        <w:t>odsetki</w:t>
      </w:r>
      <w:commentRangeEnd w:id="2"/>
      <w:r>
        <w:rPr>
          <w:rStyle w:val="Odwoaniedokomentarza"/>
        </w:rPr>
        <w:commentReference w:id="2"/>
      </w:r>
    </w:p>
    <w:p w:rsidR="006A06DE" w:rsidRDefault="006A06DE" w:rsidP="006A06DE">
      <w:pPr>
        <w:ind w:left="708" w:firstLine="708"/>
        <w:jc w:val="both"/>
        <w:rPr>
          <w:i/>
          <w:color w:val="FF0000"/>
          <w:sz w:val="20"/>
        </w:rPr>
      </w:pPr>
      <w:r w:rsidRPr="00567D10">
        <w:rPr>
          <w:i/>
          <w:color w:val="FF0000"/>
          <w:sz w:val="20"/>
        </w:rPr>
        <w:t xml:space="preserve">i datę ogłoszenia upadłości </w:t>
      </w:r>
    </w:p>
    <w:p w:rsidR="006A06DE" w:rsidRDefault="006A06DE" w:rsidP="006A06DE">
      <w:pPr>
        <w:jc w:val="both"/>
        <w:rPr>
          <w:i/>
          <w:color w:val="FF0000"/>
          <w:sz w:val="20"/>
        </w:rPr>
      </w:pPr>
    </w:p>
    <w:p w:rsidR="006A06DE" w:rsidRPr="00387B38" w:rsidRDefault="006A06DE" w:rsidP="006A06DE">
      <w:pPr>
        <w:jc w:val="both"/>
      </w:pPr>
    </w:p>
    <w:p w:rsidR="006A06DE" w:rsidRPr="00387B38" w:rsidRDefault="006A06DE" w:rsidP="006A06DE">
      <w:pPr>
        <w:jc w:val="both"/>
        <w:rPr>
          <w:b/>
        </w:rPr>
      </w:pPr>
      <w:r w:rsidRPr="00387B38">
        <w:t xml:space="preserve">Stosownie do treści przepisu art. 240 pkt 4 Prawa upadłościowego i naprawczego wskazuję, iż całość zgłaszanych wierzytelności podlega zaliczeniu do </w:t>
      </w:r>
      <w:commentRangeStart w:id="3"/>
      <w:r w:rsidRPr="00567D10">
        <w:t>kategorii czwartej.</w:t>
      </w:r>
      <w:r w:rsidRPr="00387B38">
        <w:rPr>
          <w:b/>
        </w:rPr>
        <w:t xml:space="preserve"> </w:t>
      </w:r>
      <w:commentRangeEnd w:id="3"/>
      <w:r>
        <w:rPr>
          <w:rStyle w:val="Odwoaniedokomentarza"/>
        </w:rPr>
        <w:commentReference w:id="3"/>
      </w:r>
    </w:p>
    <w:p w:rsidR="006A06DE" w:rsidRPr="00387B38" w:rsidRDefault="006A06DE" w:rsidP="006A06DE">
      <w:pPr>
        <w:jc w:val="both"/>
        <w:rPr>
          <w:b/>
        </w:rPr>
      </w:pPr>
    </w:p>
    <w:p w:rsidR="006A06DE" w:rsidRPr="00387B38" w:rsidRDefault="006A06DE" w:rsidP="006A06DE">
      <w:pPr>
        <w:jc w:val="both"/>
      </w:pPr>
      <w:r w:rsidRPr="00387B38">
        <w:t xml:space="preserve">Stosownie do treści przepisu art. 240 pkt 5 Prawa upadłościowego i naprawczego wskazuję, że zgłaszane wierzytelności </w:t>
      </w:r>
      <w:commentRangeStart w:id="4"/>
      <w:r w:rsidRPr="00387B38">
        <w:t xml:space="preserve">nie są objęte zabezpieczeniem. </w:t>
      </w:r>
      <w:commentRangeEnd w:id="4"/>
      <w:r>
        <w:rPr>
          <w:rStyle w:val="Odwoaniedokomentarza"/>
        </w:rPr>
        <w:commentReference w:id="4"/>
      </w:r>
      <w:r w:rsidRPr="00387B38">
        <w:t xml:space="preserve"> </w:t>
      </w:r>
    </w:p>
    <w:p w:rsidR="006A06DE" w:rsidRDefault="006A06DE" w:rsidP="006A06DE">
      <w:pPr>
        <w:jc w:val="both"/>
      </w:pPr>
    </w:p>
    <w:p w:rsidR="006A06DE" w:rsidRPr="000144FC" w:rsidRDefault="006A06DE" w:rsidP="006A06DE">
      <w:pPr>
        <w:jc w:val="both"/>
        <w:rPr>
          <w:i/>
        </w:rPr>
      </w:pPr>
      <w:r w:rsidRPr="00387B38">
        <w:t xml:space="preserve">Stosownie do treści przepisu art. 240 pkt 6 Prawa upadłościowego i naprawczego wskazuję, że Upadły jest dłużnikiem osobistym w stosunku do zgłaszanych wierzytelności. </w:t>
      </w:r>
    </w:p>
    <w:p w:rsidR="006A06DE" w:rsidRPr="00387B38" w:rsidRDefault="006A06DE" w:rsidP="006A06DE">
      <w:pPr>
        <w:jc w:val="both"/>
      </w:pPr>
    </w:p>
    <w:p w:rsidR="006A06DE" w:rsidRPr="00567D10" w:rsidRDefault="006A06DE" w:rsidP="006A06DE">
      <w:pPr>
        <w:jc w:val="both"/>
        <w:rPr>
          <w:i/>
          <w:szCs w:val="20"/>
        </w:rPr>
      </w:pPr>
      <w:r w:rsidRPr="00387B38">
        <w:t xml:space="preserve">Stosownie do treści przepisu art. 240 pkt 7 Prawa upadłościowego i naprawczego informuję, iż zgłaszane wierzytelności </w:t>
      </w:r>
      <w:commentRangeStart w:id="5"/>
      <w:r>
        <w:t>nie były i nie są przedmiotem postępowania sądowego lub administracyjnego.</w:t>
      </w:r>
      <w:r>
        <w:rPr>
          <w:i/>
        </w:rPr>
        <w:t xml:space="preserve"> </w:t>
      </w:r>
      <w:commentRangeEnd w:id="5"/>
      <w:r>
        <w:rPr>
          <w:rStyle w:val="Odwoaniedokomentarza"/>
        </w:rPr>
        <w:commentReference w:id="5"/>
      </w:r>
    </w:p>
    <w:p w:rsidR="006A06DE" w:rsidRPr="00387B38" w:rsidRDefault="006A06DE" w:rsidP="006A06DE">
      <w:pPr>
        <w:jc w:val="both"/>
        <w:rPr>
          <w:szCs w:val="20"/>
        </w:rPr>
      </w:pPr>
    </w:p>
    <w:p w:rsidR="006A06DE" w:rsidRPr="00387B38" w:rsidRDefault="006A06DE" w:rsidP="006A06DE">
      <w:pPr>
        <w:jc w:val="both"/>
      </w:pPr>
      <w:r w:rsidRPr="00387B38">
        <w:t>Stosownie do treści przepisu art. 240 pkt 8 Prawa upadłościowego i naprawczego wskazuję, że nie jest</w:t>
      </w:r>
      <w:r>
        <w:t>em</w:t>
      </w:r>
      <w:r w:rsidRPr="00387B38">
        <w:t xml:space="preserve"> udziałowcem Upadłej.</w:t>
      </w:r>
    </w:p>
    <w:p w:rsidR="006A06DE" w:rsidRPr="00387B38" w:rsidRDefault="006A06DE" w:rsidP="006A06DE">
      <w:pPr>
        <w:jc w:val="both"/>
      </w:pPr>
    </w:p>
    <w:p w:rsidR="006A06DE" w:rsidRDefault="006A06DE" w:rsidP="006A06DE">
      <w:pPr>
        <w:jc w:val="both"/>
        <w:rPr>
          <w:b/>
        </w:rPr>
      </w:pPr>
      <w:r w:rsidRPr="00387B38">
        <w:t>Kwoty uzyskane w toku postępowania upadłościowego proszę przekazać na rachunek bankowy Wierzyciela o numerze</w:t>
      </w:r>
      <w:r>
        <w:rPr>
          <w:i/>
        </w:rPr>
        <w:t xml:space="preserve"> </w:t>
      </w:r>
      <w:r w:rsidRPr="0064099B">
        <w:rPr>
          <w:i/>
          <w:color w:val="FF0000"/>
        </w:rPr>
        <w:t>podaj numer swojego rachunku bankowego</w:t>
      </w:r>
      <w:r w:rsidRPr="00387B38">
        <w:rPr>
          <w:b/>
        </w:rPr>
        <w:t>.</w:t>
      </w:r>
    </w:p>
    <w:p w:rsidR="006A06DE" w:rsidRDefault="006A06DE" w:rsidP="006A06DE">
      <w:pPr>
        <w:jc w:val="both"/>
        <w:rPr>
          <w:b/>
        </w:rPr>
      </w:pPr>
    </w:p>
    <w:p w:rsidR="006A06DE" w:rsidRDefault="006A06DE" w:rsidP="006A06DE">
      <w:pPr>
        <w:jc w:val="both"/>
        <w:rPr>
          <w:b/>
        </w:rPr>
      </w:pPr>
    </w:p>
    <w:p w:rsidR="006A06DE" w:rsidRDefault="006A06DE" w:rsidP="006A06D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</w:t>
      </w:r>
    </w:p>
    <w:p w:rsidR="006A06DE" w:rsidRPr="0064099B" w:rsidRDefault="006A06DE" w:rsidP="006A06DE">
      <w:pPr>
        <w:jc w:val="both"/>
        <w:rPr>
          <w:i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4099B">
        <w:rPr>
          <w:i/>
          <w:color w:val="FF0000"/>
        </w:rPr>
        <w:t>podpis Wierzyciela</w:t>
      </w:r>
    </w:p>
    <w:p w:rsidR="006A06DE" w:rsidRPr="00387B38" w:rsidRDefault="006A06DE" w:rsidP="006A06DE">
      <w:pPr>
        <w:jc w:val="both"/>
      </w:pPr>
    </w:p>
    <w:p w:rsidR="006A06DE" w:rsidRPr="00387B38" w:rsidRDefault="006A06DE" w:rsidP="006A06DE">
      <w:pPr>
        <w:jc w:val="both"/>
        <w:rPr>
          <w:b/>
        </w:rPr>
      </w:pPr>
      <w:r w:rsidRPr="00387B38">
        <w:rPr>
          <w:b/>
        </w:rPr>
        <w:t>Załączniki:</w:t>
      </w:r>
    </w:p>
    <w:p w:rsidR="006A06DE" w:rsidRDefault="006A06DE" w:rsidP="006A06DE">
      <w:pPr>
        <w:numPr>
          <w:ilvl w:val="0"/>
          <w:numId w:val="2"/>
        </w:numPr>
        <w:suppressAutoHyphens/>
        <w:jc w:val="both"/>
      </w:pPr>
      <w:r w:rsidRPr="00387B38">
        <w:t>dokumenty wymienione w treści pisma,</w:t>
      </w:r>
    </w:p>
    <w:p w:rsidR="006A06DE" w:rsidRPr="00F65AD7" w:rsidRDefault="006A06DE" w:rsidP="006A06DE">
      <w:pPr>
        <w:numPr>
          <w:ilvl w:val="0"/>
          <w:numId w:val="2"/>
        </w:numPr>
        <w:suppressAutoHyphens/>
        <w:jc w:val="both"/>
        <w:rPr>
          <w:color w:val="FF0000"/>
        </w:rPr>
      </w:pPr>
      <w:r w:rsidRPr="00F65AD7">
        <w:rPr>
          <w:color w:val="FF0000"/>
        </w:rPr>
        <w:t xml:space="preserve">odpis z KRS (jeżeli zgłoszenia dokonuje podmiot wpisany do KRS). </w:t>
      </w:r>
    </w:p>
    <w:p w:rsidR="006A06DE" w:rsidRPr="0032278A" w:rsidRDefault="006A06DE" w:rsidP="006A06DE">
      <w:pPr>
        <w:numPr>
          <w:ilvl w:val="0"/>
          <w:numId w:val="2"/>
        </w:numPr>
        <w:suppressAutoHyphens/>
        <w:ind w:left="714" w:hanging="357"/>
        <w:jc w:val="both"/>
      </w:pPr>
      <w:commentRangeStart w:id="6"/>
      <w:r w:rsidRPr="00387B38">
        <w:t>drugi egzemplarz zgłoszenia wierzytelności wraz załącznikami.</w:t>
      </w:r>
      <w:r>
        <w:rPr>
          <w:i/>
        </w:rPr>
        <w:t xml:space="preserve"> </w:t>
      </w:r>
      <w:commentRangeEnd w:id="6"/>
      <w:r>
        <w:rPr>
          <w:rStyle w:val="Odwoaniedokomentarza"/>
        </w:rPr>
        <w:commentReference w:id="6"/>
      </w:r>
    </w:p>
    <w:p w:rsidR="001F6519" w:rsidRDefault="001F6519"/>
    <w:sectPr w:rsidR="001F6519" w:rsidSect="001F65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Karol Sienkiewicz" w:date="2012-09-26T11:49:00Z" w:initials="KS">
    <w:p w:rsidR="006A06DE" w:rsidRPr="00567D10" w:rsidRDefault="006A06DE" w:rsidP="006A06DE">
      <w:pPr>
        <w:suppressAutoHyphens/>
        <w:jc w:val="both"/>
        <w:rPr>
          <w:i/>
        </w:rPr>
      </w:pPr>
      <w:r>
        <w:rPr>
          <w:rStyle w:val="Odwoaniedokomentarza"/>
        </w:rPr>
        <w:annotationRef/>
      </w:r>
      <w:r w:rsidRPr="00567D10">
        <w:rPr>
          <w:i/>
        </w:rPr>
        <w:t xml:space="preserve">Jeśli zawarłeś kilka umów z </w:t>
      </w:r>
      <w:proofErr w:type="spellStart"/>
      <w:r w:rsidRPr="00567D10">
        <w:rPr>
          <w:i/>
        </w:rPr>
        <w:t>Amber</w:t>
      </w:r>
      <w:proofErr w:type="spellEnd"/>
      <w:r w:rsidRPr="00567D10">
        <w:rPr>
          <w:i/>
        </w:rPr>
        <w:t xml:space="preserve"> </w:t>
      </w:r>
      <w:proofErr w:type="spellStart"/>
      <w:r w:rsidRPr="00567D10">
        <w:rPr>
          <w:i/>
        </w:rPr>
        <w:t>Gold</w:t>
      </w:r>
      <w:proofErr w:type="spellEnd"/>
      <w:r w:rsidRPr="00567D10">
        <w:rPr>
          <w:i/>
        </w:rPr>
        <w:t xml:space="preserve">, należy powtórzyć obie pozycje dla każdej z nich – wskazując </w:t>
      </w:r>
      <w:r>
        <w:rPr>
          <w:i/>
        </w:rPr>
        <w:t>należność główną, jak i</w:t>
      </w:r>
      <w:r w:rsidRPr="00567D10">
        <w:rPr>
          <w:i/>
        </w:rPr>
        <w:t xml:space="preserve"> odsetki</w:t>
      </w:r>
      <w:r>
        <w:rPr>
          <w:i/>
        </w:rPr>
        <w:t>, jeśli są one zgłaszane (patrz niżej).</w:t>
      </w:r>
    </w:p>
    <w:p w:rsidR="006A06DE" w:rsidRDefault="006A06DE" w:rsidP="006A06DE">
      <w:pPr>
        <w:pStyle w:val="Tekstkomentarza"/>
      </w:pPr>
    </w:p>
  </w:comment>
  <w:comment w:id="1" w:author="Karol Sienkiewicz" w:date="2012-09-26T11:49:00Z" w:initials="KS">
    <w:p w:rsidR="006A06DE" w:rsidRDefault="006A06DE" w:rsidP="006A06DE">
      <w:pPr>
        <w:snapToGrid w:val="0"/>
        <w:jc w:val="both"/>
      </w:pPr>
      <w:r>
        <w:rPr>
          <w:rStyle w:val="Odwoaniedokomentarza"/>
        </w:rPr>
        <w:annotationRef/>
      </w:r>
      <w:r>
        <w:rPr>
          <w:i/>
        </w:rPr>
        <w:t>Dokumenty, które załącza się do zgłoszenia wierzytelności, muszą być przedstawione w oryginałach lub odpisach poświadczonych przez notariusza. Samodzielne skserowanie dokumentów i poświadczenie ich nie spełnia wymogów przewidzianych w Prawie upadłościowym i naprawczym!</w:t>
      </w:r>
    </w:p>
    <w:p w:rsidR="006A06DE" w:rsidRDefault="006A06DE" w:rsidP="006A06DE">
      <w:pPr>
        <w:pStyle w:val="Tekstkomentarza"/>
      </w:pPr>
    </w:p>
  </w:comment>
  <w:comment w:id="2" w:author="Karol Sienkiewicz" w:date="2012-09-26T11:49:00Z" w:initials="KS">
    <w:p w:rsidR="006A06DE" w:rsidRPr="004B0878" w:rsidRDefault="006A06DE" w:rsidP="006A06DE">
      <w:pPr>
        <w:jc w:val="both"/>
        <w:rPr>
          <w:i/>
        </w:rPr>
      </w:pPr>
      <w:r>
        <w:rPr>
          <w:rStyle w:val="Odwoaniedokomentarza"/>
        </w:rPr>
        <w:annotationRef/>
      </w:r>
      <w:r w:rsidRPr="004B0878">
        <w:rPr>
          <w:i/>
        </w:rPr>
        <w:t>Odsetki za opóźnienie należą się za okres od dnia następującego po dniu, w którym należność miała zostać zapłacona do dnia ogłoszenia upadłości.</w:t>
      </w:r>
      <w:r>
        <w:rPr>
          <w:i/>
        </w:rPr>
        <w:t xml:space="preserve"> W przypadku, w którym należność nie stała się wymagalna przed dniem ogłoszenia upadłości (tj. nie upłynął termin na wypłatę depozytu, umowa nie została wypowiedziana), odsetki za opóźnienie nie mogą być zaspokojone z podziału funduszy masy upadłości.</w:t>
      </w:r>
    </w:p>
    <w:p w:rsidR="006A06DE" w:rsidRPr="000144FC" w:rsidRDefault="006A06DE" w:rsidP="006A06DE">
      <w:pPr>
        <w:jc w:val="both"/>
        <w:rPr>
          <w:i/>
          <w:color w:val="FF0000"/>
        </w:rPr>
      </w:pPr>
    </w:p>
    <w:p w:rsidR="006A06DE" w:rsidRPr="00567D10" w:rsidRDefault="006A06DE" w:rsidP="006A06DE">
      <w:pPr>
        <w:suppressAutoHyphens/>
        <w:jc w:val="both"/>
        <w:rPr>
          <w:i/>
        </w:rPr>
      </w:pPr>
      <w:r w:rsidRPr="00567D10">
        <w:rPr>
          <w:i/>
        </w:rPr>
        <w:t xml:space="preserve">Jeśli zawarłeś kilka umów z </w:t>
      </w:r>
      <w:proofErr w:type="spellStart"/>
      <w:r w:rsidRPr="00567D10">
        <w:rPr>
          <w:i/>
        </w:rPr>
        <w:t>Amber</w:t>
      </w:r>
      <w:proofErr w:type="spellEnd"/>
      <w:r w:rsidRPr="00567D10">
        <w:rPr>
          <w:i/>
        </w:rPr>
        <w:t xml:space="preserve"> </w:t>
      </w:r>
      <w:proofErr w:type="spellStart"/>
      <w:r w:rsidRPr="00567D10">
        <w:rPr>
          <w:i/>
        </w:rPr>
        <w:t>Gold</w:t>
      </w:r>
      <w:proofErr w:type="spellEnd"/>
      <w:r w:rsidRPr="00567D10">
        <w:rPr>
          <w:i/>
        </w:rPr>
        <w:t xml:space="preserve">, należy powtórzyć </w:t>
      </w:r>
      <w:r>
        <w:rPr>
          <w:i/>
        </w:rPr>
        <w:t>powyższy fragment</w:t>
      </w:r>
      <w:r w:rsidRPr="00567D10">
        <w:rPr>
          <w:i/>
        </w:rPr>
        <w:t xml:space="preserve"> dla każdej z nich – wskazując należność główną i odsetki</w:t>
      </w:r>
      <w:r>
        <w:rPr>
          <w:i/>
        </w:rPr>
        <w:t xml:space="preserve"> oraz dowody uzasadniające zgłoszenie wierzytelności.</w:t>
      </w:r>
    </w:p>
    <w:p w:rsidR="006A06DE" w:rsidRDefault="006A06DE" w:rsidP="006A06DE">
      <w:pPr>
        <w:pStyle w:val="Tekstkomentarza"/>
      </w:pPr>
    </w:p>
  </w:comment>
  <w:comment w:id="3" w:author="Karol Sienkiewicz" w:date="2012-09-26T11:49:00Z" w:initials="KS">
    <w:p w:rsidR="006A06DE" w:rsidRDefault="006A06DE" w:rsidP="006A06DE">
      <w:pPr>
        <w:pStyle w:val="Tekstkomentarza"/>
      </w:pPr>
      <w:r>
        <w:rPr>
          <w:rStyle w:val="Odwoaniedokomentarza"/>
        </w:rPr>
        <w:annotationRef/>
      </w:r>
      <w:r w:rsidRPr="008319CE">
        <w:rPr>
          <w:i/>
        </w:rPr>
        <w:t>Wierzytelności z tytułu Umowy Depozytu Towarowego</w:t>
      </w:r>
      <w:r>
        <w:rPr>
          <w:i/>
        </w:rPr>
        <w:t xml:space="preserve"> podlegają zaliczeniu do kategorii czwartej. Wyjątkiem będą odsetki za okres dłuższy niż rok przed ogłoszeniem upadłości – te podlegają zaliczeniu do kategorii piątej.</w:t>
      </w:r>
    </w:p>
  </w:comment>
  <w:comment w:id="4" w:author="Karol Sienkiewicz" w:date="2012-09-26T11:49:00Z" w:initials="KS">
    <w:p w:rsidR="006A06DE" w:rsidRPr="0000240B" w:rsidRDefault="006A06DE" w:rsidP="006A06DE">
      <w:pPr>
        <w:jc w:val="both"/>
        <w:rPr>
          <w:i/>
        </w:rPr>
      </w:pPr>
      <w:r>
        <w:rPr>
          <w:rStyle w:val="Odwoaniedokomentarza"/>
        </w:rPr>
        <w:annotationRef/>
      </w:r>
      <w:r>
        <w:rPr>
          <w:i/>
        </w:rPr>
        <w:t xml:space="preserve">Zgłaszając wierzytelność w postępowaniu upadłościowy, trzeba wskazać, czy jest ona objęta zabezpieczeniem (np. hipoteką). Jeśli wierzytelność nie jest objęta zabezpieczeniem, wystarczy zamieścić powyższe oświadczenie. Jeśli wierzytelność jest objęta zabezpieczeniem, trzeba dokładnie określić rodzaj i wartość zabezpieczenia (np. w przypadku hipoteki – hipoteka przymusowa do kwoty 10.000 zł na nieruchomości, dla której Sąd Rejonowy Gdańsk Północ w Gdańsku, III Wydział Ksiąg Wieczystych, prowadzi księgę wieczystą o numerze _____) i zamieścić </w:t>
      </w:r>
      <w:r w:rsidRPr="000144FC">
        <w:rPr>
          <w:i/>
        </w:rPr>
        <w:t>oświadczenie wierzyciela, w jakiej prawdopodobnie sumie wierzytelność nie będzie zaspokojona z przedmi</w:t>
      </w:r>
      <w:r>
        <w:rPr>
          <w:i/>
        </w:rPr>
        <w:t xml:space="preserve">otu zabezpieczenia). </w:t>
      </w:r>
    </w:p>
    <w:p w:rsidR="006A06DE" w:rsidRDefault="006A06DE" w:rsidP="006A06DE">
      <w:pPr>
        <w:pStyle w:val="Tekstkomentarza"/>
      </w:pPr>
    </w:p>
  </w:comment>
  <w:comment w:id="5" w:author="Karol Sienkiewicz" w:date="2012-09-26T11:49:00Z" w:initials="KS">
    <w:p w:rsidR="006A06DE" w:rsidRDefault="006A06DE" w:rsidP="006A06DE">
      <w:pPr>
        <w:pStyle w:val="Tekstkomentarza"/>
      </w:pPr>
      <w:r>
        <w:rPr>
          <w:rStyle w:val="Odwoaniedokomentarza"/>
        </w:rPr>
        <w:annotationRef/>
      </w:r>
      <w:r>
        <w:rPr>
          <w:i/>
        </w:rPr>
        <w:t xml:space="preserve">Zgłaszając wierzytelność, trzeba podać stan sprawy w postępowaniach sądowych lub administracyjnych, które dotyczą zgłaszanych wierzytelności (np. procesów o zapłatę przeciwko </w:t>
      </w:r>
      <w:proofErr w:type="spellStart"/>
      <w:r>
        <w:rPr>
          <w:i/>
        </w:rPr>
        <w:t>Amber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Gold</w:t>
      </w:r>
      <w:proofErr w:type="spellEnd"/>
      <w:r>
        <w:rPr>
          <w:i/>
        </w:rPr>
        <w:t>). Jeśli taki postępowań nie ma, to wystarczy powyższe oświadczenie. Gdyby jednak takie postępowania się toczyły, to należy podać organ przed którym się toczą, sygnaturę sprawy, przedmiot postępowania oraz jego stan.</w:t>
      </w:r>
    </w:p>
  </w:comment>
  <w:comment w:id="6" w:author="Karol Sienkiewicz" w:date="2012-09-26T11:49:00Z" w:initials="KS">
    <w:p w:rsidR="006A06DE" w:rsidRDefault="006A06DE" w:rsidP="006A06DE">
      <w:pPr>
        <w:suppressAutoHyphens/>
        <w:jc w:val="both"/>
      </w:pPr>
      <w:r>
        <w:rPr>
          <w:rStyle w:val="Odwoaniedokomentarza"/>
        </w:rPr>
        <w:annotationRef/>
      </w:r>
      <w:r>
        <w:rPr>
          <w:i/>
        </w:rPr>
        <w:t>Załączniki do drugiego egzemplarza zgłoszenia wierzytelności mogą być kserokopiami dokumentów oryginalnych lub poświadczonych przez notariusza.</w:t>
      </w:r>
    </w:p>
    <w:p w:rsidR="006A06DE" w:rsidRDefault="006A06DE" w:rsidP="006A06DE">
      <w:pPr>
        <w:pStyle w:val="Tekstkomentarza"/>
      </w:pP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32774"/>
    <w:multiLevelType w:val="hybridMultilevel"/>
    <w:tmpl w:val="2BAA94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12D8B"/>
    <w:multiLevelType w:val="hybridMultilevel"/>
    <w:tmpl w:val="3F9838F0"/>
    <w:lvl w:ilvl="0" w:tplc="C2EC6E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A06DE"/>
    <w:rsid w:val="00036DA5"/>
    <w:rsid w:val="001F6519"/>
    <w:rsid w:val="00262BE2"/>
    <w:rsid w:val="002A3039"/>
    <w:rsid w:val="006A06DE"/>
    <w:rsid w:val="00FA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06DE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6A06D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A06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A06DE"/>
    <w:rPr>
      <w:rFonts w:eastAsia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06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6D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1</cp:revision>
  <dcterms:created xsi:type="dcterms:W3CDTF">2012-09-26T09:49:00Z</dcterms:created>
  <dcterms:modified xsi:type="dcterms:W3CDTF">2012-09-26T09:50:00Z</dcterms:modified>
</cp:coreProperties>
</file>